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ED" w:rsidRPr="00710EED" w:rsidRDefault="00710EED" w:rsidP="00710EED">
      <w:pPr>
        <w:shd w:val="clear" w:color="auto" w:fill="FFFFFF"/>
        <w:spacing w:after="106" w:line="240" w:lineRule="auto"/>
        <w:outlineLvl w:val="3"/>
        <w:rPr>
          <w:rFonts w:ascii="Arial" w:eastAsia="Times New Roman" w:hAnsi="Arial" w:cs="Arial"/>
          <w:color w:val="901C5D"/>
          <w:sz w:val="31"/>
          <w:szCs w:val="31"/>
        </w:rPr>
      </w:pPr>
      <w:r w:rsidRPr="00710EED">
        <w:rPr>
          <w:rFonts w:ascii="Times New Roman" w:eastAsia="Times New Roman" w:hAnsi="Times New Roman" w:cs="Times New Roman"/>
          <w:color w:val="000000"/>
          <w:sz w:val="27"/>
          <w:szCs w:val="27"/>
        </w:rPr>
        <w:t>Порушення опорно-рухового апарату виникають внаслідок певного захворювання, що призвело до розладу рухових функцій (наприклад, дитячий церебральний параліч у важкій формі, розсіяний склероз, захворювання кісток), внаслідок травми хребта або ампутації. </w:t>
      </w:r>
    </w:p>
    <w:p w:rsidR="00710EED" w:rsidRPr="00710EED" w:rsidRDefault="00710EED" w:rsidP="00710EED">
      <w:pPr>
        <w:shd w:val="clear" w:color="auto" w:fill="FFFFFF"/>
        <w:spacing w:after="106" w:line="240" w:lineRule="auto"/>
        <w:outlineLvl w:val="3"/>
        <w:rPr>
          <w:rFonts w:ascii="Arial" w:eastAsia="Times New Roman" w:hAnsi="Arial" w:cs="Arial"/>
          <w:color w:val="901C5D"/>
          <w:sz w:val="31"/>
          <w:szCs w:val="31"/>
        </w:rPr>
      </w:pPr>
      <w:r w:rsidRPr="00710EED">
        <w:rPr>
          <w:rFonts w:ascii="Times New Roman" w:eastAsia="Times New Roman" w:hAnsi="Times New Roman" w:cs="Times New Roman"/>
          <w:color w:val="000000"/>
          <w:sz w:val="27"/>
          <w:szCs w:val="27"/>
        </w:rPr>
        <w:t>Діти з порушеннями опорно-рухового апарату відчувають труднощі під час пересування, користуються різноманітними допоміжними засобами: інвалідними візками, милицями, тростинками чи «ходунками». </w:t>
      </w:r>
    </w:p>
    <w:p w:rsidR="00710EED" w:rsidRPr="00710EED" w:rsidRDefault="00710EED" w:rsidP="00710EED">
      <w:pPr>
        <w:shd w:val="clear" w:color="auto" w:fill="FFFFFF"/>
        <w:spacing w:after="106" w:line="240" w:lineRule="auto"/>
        <w:outlineLvl w:val="3"/>
        <w:rPr>
          <w:rFonts w:ascii="Arial" w:eastAsia="Times New Roman" w:hAnsi="Arial" w:cs="Arial"/>
          <w:color w:val="901C5D"/>
          <w:sz w:val="31"/>
          <w:szCs w:val="31"/>
        </w:rPr>
      </w:pPr>
      <w:r w:rsidRPr="00710EED">
        <w:rPr>
          <w:rFonts w:ascii="Times New Roman" w:eastAsia="Times New Roman" w:hAnsi="Times New Roman" w:cs="Times New Roman"/>
          <w:color w:val="000000"/>
          <w:sz w:val="27"/>
          <w:szCs w:val="27"/>
        </w:rPr>
        <w:t>При деяких важких травмах хребта відбувається ушкодження спинного мозку, який відповідає за рухову активність кінцівок, внаслідок чого відбувається їх параліч. Хребет може бути зламаний у різних місцях, тож наслідки травми, залежно від того, яка частина спинного мозку ушкоджена і якою мірою, можуть бути різними. </w:t>
      </w:r>
    </w:p>
    <w:p w:rsidR="00710EED" w:rsidRPr="00710EED" w:rsidRDefault="00710EED" w:rsidP="00710EED">
      <w:pPr>
        <w:shd w:val="clear" w:color="auto" w:fill="FFFFFF"/>
        <w:spacing w:after="106" w:line="240" w:lineRule="auto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710E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Параплегія: спинний мозок травмовано нижче шийного відділу, відтак, у людини уражена нижня частина тіла і ноги, а також частина внутрішніх, тазових органів. </w:t>
      </w:r>
      <w:proofErr w:type="spellStart"/>
      <w:r w:rsidRPr="00710EED">
        <w:rPr>
          <w:rFonts w:ascii="Times New Roman" w:eastAsia="Times New Roman" w:hAnsi="Times New Roman" w:cs="Times New Roman"/>
          <w:color w:val="000000"/>
          <w:sz w:val="27"/>
          <w:szCs w:val="27"/>
        </w:rPr>
        <w:t>Тетраплегія</w:t>
      </w:r>
      <w:proofErr w:type="spellEnd"/>
      <w:r w:rsidRPr="00710EED">
        <w:rPr>
          <w:rFonts w:ascii="Times New Roman" w:eastAsia="Times New Roman" w:hAnsi="Times New Roman" w:cs="Times New Roman"/>
          <w:color w:val="000000"/>
          <w:sz w:val="27"/>
          <w:szCs w:val="27"/>
        </w:rPr>
        <w:t>: спинний мозок пошкоджений на рівні шийного відділу, внаслідок цього руки й ноги у людини повністю або частково позбавлені чутливості та рухливості.</w:t>
      </w:r>
    </w:p>
    <w:p w:rsidR="00710EED" w:rsidRPr="00710EED" w:rsidRDefault="00710EED" w:rsidP="00710EED">
      <w:pPr>
        <w:shd w:val="clear" w:color="auto" w:fill="FFFFFF"/>
        <w:spacing w:after="106" w:line="240" w:lineRule="auto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710EED">
        <w:rPr>
          <w:rFonts w:ascii="Times New Roman" w:eastAsia="Times New Roman" w:hAnsi="Times New Roman" w:cs="Times New Roman"/>
          <w:color w:val="000000"/>
          <w:sz w:val="27"/>
          <w:szCs w:val="27"/>
        </w:rPr>
        <w:t>Дитячий церебральний параліч (ДЦП) виникає внаслідок порушення у тій частині мозку, яка відповідає за контроль і координацію роботи м’язів. Часто це трапляється під час пологів через кисневу недостатність або в перші місяці життя дитини. Це не прогресуючий стан, який не може передаватися іншим людям.</w:t>
      </w:r>
    </w:p>
    <w:p w:rsidR="00710EED" w:rsidRPr="00710EED" w:rsidRDefault="00710EED" w:rsidP="00710EED">
      <w:pPr>
        <w:shd w:val="clear" w:color="auto" w:fill="FFFFFF"/>
        <w:spacing w:after="106" w:line="240" w:lineRule="auto"/>
        <w:outlineLvl w:val="3"/>
        <w:rPr>
          <w:rFonts w:ascii="Arial" w:eastAsia="Times New Roman" w:hAnsi="Arial" w:cs="Arial"/>
          <w:color w:val="901C5D"/>
          <w:sz w:val="25"/>
          <w:szCs w:val="25"/>
        </w:rPr>
      </w:pPr>
      <w:r w:rsidRPr="00710E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ДЦП характеризується неспроможністю повною мірою контролювати координацію рухів і м’язову силу. Залежно від того, який відділ мозку уражено, можуть виникати різкі м’язові напруження (спазми), мимовільні рухи, характерна «танцююча» хода. Крім того, можуть виникати аномальні відчуття і сприйняття, порушення зору, слуху і мовлення, напади, затримка в розумовому розвитку. Діти з ДЦП можуть відвідувати звичайну школу і вчитися разом з усіма. Залежно від ступеня та характеру порушення дітям із ДЦП потрібно створювати для навчання спеціальні умови: </w:t>
      </w:r>
      <w:proofErr w:type="spellStart"/>
      <w:r w:rsidRPr="00710EED">
        <w:rPr>
          <w:rFonts w:ascii="Times New Roman" w:eastAsia="Times New Roman" w:hAnsi="Times New Roman" w:cs="Times New Roman"/>
          <w:color w:val="000000"/>
          <w:sz w:val="27"/>
          <w:szCs w:val="27"/>
        </w:rPr>
        <w:t>безбар’єрне</w:t>
      </w:r>
      <w:proofErr w:type="spellEnd"/>
      <w:r w:rsidRPr="00710E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середовище для тих, хто пересувається на візку; пристосування для письма або малювання, якщо у дитини спостерігають розлади моторики тощо. З учнями школи обов’язково потрібно провести бесіду (і не одну) на цю тему, запросити до класу експертів – молодих інвалідів, які зможуть переконливо розповісти про своє життя, проблеми, відповісти на запитання й показати наочні матеріали.</w:t>
      </w:r>
    </w:p>
    <w:p w:rsidR="00F07F79" w:rsidRDefault="00710EED" w:rsidP="00710EED">
      <w:r w:rsidRPr="00710EE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br/>
      </w:r>
    </w:p>
    <w:sectPr w:rsidR="00F07F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710EED"/>
    <w:rsid w:val="00710EED"/>
    <w:rsid w:val="00F0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10E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0EE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10E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1479</Words>
  <Characters>844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</cp:revision>
  <dcterms:created xsi:type="dcterms:W3CDTF">2020-03-31T11:06:00Z</dcterms:created>
  <dcterms:modified xsi:type="dcterms:W3CDTF">2020-03-31T11:07:00Z</dcterms:modified>
</cp:coreProperties>
</file>